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6000000">
      <w:pPr>
        <w:pStyle w:val="Style_3"/>
        <w:widowControl w:val="1"/>
        <w:spacing w:after="240" w:before="240"/>
        <w:ind/>
      </w:pPr>
      <w:bookmarkStart w:id="1" w:name="_hpm20ij3t6o8"/>
      <w:bookmarkEnd w:id="1"/>
      <w:r>
        <w:t>Акт передачи исходных данных</w:t>
      </w:r>
    </w:p>
    <w:p w14:paraId="07000000">
      <w:pPr>
        <w:pStyle w:val="Style_4"/>
        <w:widowControl w:val="1"/>
        <w:spacing w:after="240" w:before="240"/>
        <w:ind/>
      </w:pPr>
      <w:bookmarkStart w:id="2" w:name="_lal9pia6yvtm"/>
      <w:bookmarkEnd w:id="2"/>
      <w:r>
        <w:t xml:space="preserve">Требуемые исходные данные </w:t>
      </w:r>
    </w:p>
    <w:p w14:paraId="08000000">
      <w:pPr>
        <w:pStyle w:val="Style_5"/>
      </w:pPr>
      <w:bookmarkStart w:id="3" w:name="_8ql1uzr19i31"/>
      <w:bookmarkEnd w:id="3"/>
      <w:r>
        <w:t>(общая форма, подходящая для любого энергообъекта, может быть оставлена в изначальном виде или адаптирована под конкретный энергообъект)</w:t>
      </w:r>
    </w:p>
    <w:p w14:paraId="09000000">
      <w:pPr>
        <w:widowControl w:val="1"/>
        <w:numPr>
          <w:ilvl w:val="0"/>
          <w:numId w:val="1"/>
        </w:numPr>
        <w:spacing w:after="0" w:before="240"/>
        <w:ind w:hanging="360" w:left="720"/>
      </w:pPr>
      <w:r>
        <w:t xml:space="preserve">Нормальная электрическая схема энергообъекта или энергорайона </w:t>
      </w:r>
      <w:r>
        <w:rPr>
          <w:color w:val="1155CC"/>
        </w:rPr>
        <w:t>(ссылка)</w:t>
      </w:r>
      <w:r>
        <w:t>.</w:t>
      </w:r>
    </w:p>
    <w:p w14:paraId="0A000000">
      <w:pPr>
        <w:widowControl w:val="1"/>
        <w:numPr>
          <w:ilvl w:val="0"/>
          <w:numId w:val="1"/>
        </w:numPr>
        <w:spacing w:after="0" w:before="0"/>
        <w:ind w:hanging="360" w:left="720"/>
      </w:pPr>
      <w:r>
        <w:t xml:space="preserve">Схема распределения устройств по ТТ и ТН с указанием типов ТТ и ТН </w:t>
      </w:r>
      <w:r>
        <w:rPr>
          <w:color w:val="1155CC"/>
        </w:rPr>
        <w:t>(ссылка)</w:t>
      </w:r>
      <w:r>
        <w:t>.</w:t>
      </w:r>
    </w:p>
    <w:p w14:paraId="0B000000">
      <w:pPr>
        <w:widowControl w:val="1"/>
        <w:numPr>
          <w:ilvl w:val="0"/>
          <w:numId w:val="1"/>
        </w:numPr>
        <w:spacing w:after="0" w:before="0"/>
        <w:ind w:hanging="360" w:left="720"/>
        <w:rPr>
          <w:u w:val="none"/>
        </w:rPr>
      </w:pPr>
      <w:r>
        <w:t>Функциональная схема РЗА, при наличии</w:t>
      </w:r>
      <w:r>
        <w:rPr>
          <w:color w:val="1155CC"/>
        </w:rPr>
        <w:t xml:space="preserve"> (ссылка)</w:t>
      </w:r>
    </w:p>
    <w:p w14:paraId="0C000000">
      <w:pPr>
        <w:widowControl w:val="1"/>
        <w:numPr>
          <w:ilvl w:val="0"/>
          <w:numId w:val="1"/>
        </w:numPr>
        <w:spacing w:after="240" w:before="0"/>
        <w:ind w:hanging="360" w:left="720"/>
      </w:pPr>
      <w:r>
        <w:t>Устройства РЗА</w:t>
      </w:r>
    </w:p>
    <w:tbl>
      <w:tblPr>
        <w:tblStyle w:val="Style_6"/>
        <w:tblW w:type="auto" w:w="0"/>
        <w:jc w:val="left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1935"/>
        <w:gridCol w:w="1965"/>
        <w:gridCol w:w="1785"/>
        <w:gridCol w:w="1425"/>
        <w:gridCol w:w="1920"/>
      </w:tblGrid>
      <w:tr>
        <w:trPr>
          <w:trHeight w:hRule="atLeast" w:val="2090"/>
        </w:trPr>
        <w:tc>
          <w:tcPr>
            <w:tcW w:type="dxa" w:w="1935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 w14:paraId="0D000000">
            <w:pPr>
              <w:widowControl w:val="1"/>
              <w:spacing w:after="240" w:before="240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Полное наименование устройства</w:t>
            </w:r>
          </w:p>
        </w:tc>
        <w:tc>
          <w:tcPr>
            <w:tcW w:type="dxa" w:w="1965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 w14:paraId="0E000000">
            <w:pPr>
              <w:widowControl w:val="1"/>
              <w:spacing w:after="240" w:before="240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Документация на устройство:</w:t>
            </w:r>
          </w:p>
          <w:p w14:paraId="0F000000">
            <w:pPr>
              <w:widowControl w:val="1"/>
              <w:spacing w:after="240" w:before="240"/>
              <w:ind/>
              <w:rPr>
                <w:b w:val="1"/>
                <w:color w:val="1155CC"/>
                <w:sz w:val="20"/>
              </w:rPr>
            </w:pPr>
          </w:p>
        </w:tc>
        <w:tc>
          <w:tcPr>
            <w:tcW w:type="dxa" w:w="1785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 w14:paraId="10000000">
            <w:pPr>
              <w:widowControl w:val="1"/>
              <w:spacing w:after="240" w:before="240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Обозначение на схеме ИТС</w:t>
            </w:r>
          </w:p>
        </w:tc>
        <w:tc>
          <w:tcPr>
            <w:tcW w:type="dxa" w:w="1425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 w14:paraId="11000000">
            <w:pPr>
              <w:widowControl w:val="1"/>
              <w:spacing w:after="240" w:before="240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Состав функций, расчет которых необходим</w:t>
            </w:r>
          </w:p>
        </w:tc>
        <w:tc>
          <w:tcPr>
            <w:tcW w:type="dxa" w:w="1920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 w14:paraId="12000000">
            <w:pPr>
              <w:widowControl w:val="1"/>
              <w:spacing w:after="240" w:before="240"/>
              <w:ind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Дополнительная информация по реализации функций на объекте</w:t>
            </w:r>
          </w:p>
        </w:tc>
      </w:tr>
      <w:tr>
        <w:trPr>
          <w:trHeight w:hRule="atLeast" w:val="500"/>
        </w:trPr>
        <w:tc>
          <w:tcPr>
            <w:tcW w:type="dxa" w:w="1935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/>
        </w:tc>
        <w:tc>
          <w:tcPr>
            <w:tcW w:type="dxa" w:w="1965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 w14:paraId="13000000">
            <w:pPr>
              <w:widowControl w:val="1"/>
              <w:spacing w:after="240" w:before="240"/>
              <w:ind/>
              <w:rPr>
                <w:b w:val="1"/>
                <w:color w:val="1155CC"/>
                <w:sz w:val="20"/>
              </w:rPr>
            </w:pPr>
            <w:r>
              <w:rPr>
                <w:b w:val="1"/>
                <w:sz w:val="20"/>
              </w:rPr>
              <w:t xml:space="preserve">Руководство по эксплуатации </w:t>
            </w:r>
            <w:r>
              <w:rPr>
                <w:b w:val="1"/>
                <w:color w:val="1155CC"/>
                <w:sz w:val="20"/>
              </w:rPr>
              <w:t xml:space="preserve">(ссылка) </w:t>
            </w:r>
          </w:p>
          <w:p w14:paraId="14000000">
            <w:pPr>
              <w:widowControl w:val="1"/>
              <w:spacing w:after="240" w:before="240"/>
              <w:ind/>
              <w:rPr>
                <w:b w:val="1"/>
                <w:color w:val="1155CC"/>
                <w:sz w:val="20"/>
              </w:rPr>
            </w:pPr>
            <w:r>
              <w:rPr>
                <w:b w:val="1"/>
                <w:sz w:val="20"/>
              </w:rPr>
              <w:t xml:space="preserve">Рекомендации по расчету уставок </w:t>
            </w:r>
            <w:r>
              <w:rPr>
                <w:b w:val="1"/>
                <w:color w:val="1155CC"/>
                <w:sz w:val="20"/>
              </w:rPr>
              <w:t>(ссылка)</w:t>
            </w:r>
          </w:p>
          <w:p w14:paraId="15000000">
            <w:pPr>
              <w:widowControl w:val="1"/>
              <w:spacing w:after="240" w:before="240"/>
              <w:ind/>
              <w:rPr>
                <w:b w:val="1"/>
                <w:color w:val="1155CC"/>
                <w:sz w:val="20"/>
              </w:rPr>
            </w:pPr>
            <w:r>
              <w:rPr>
                <w:b w:val="1"/>
                <w:sz w:val="20"/>
              </w:rPr>
              <w:t xml:space="preserve">Бланк уставок </w:t>
            </w:r>
            <w:r>
              <w:rPr>
                <w:b w:val="1"/>
                <w:color w:val="1155CC"/>
                <w:sz w:val="20"/>
              </w:rPr>
              <w:t>(ссылка)</w:t>
            </w:r>
          </w:p>
          <w:p w14:paraId="16000000">
            <w:pPr>
              <w:widowControl w:val="1"/>
              <w:spacing w:after="240" w:before="240"/>
              <w:ind/>
            </w:pPr>
            <w:r>
              <w:rPr>
                <w:b w:val="1"/>
                <w:sz w:val="20"/>
              </w:rPr>
              <w:t xml:space="preserve">Требуемое время до насыщения ТТ </w:t>
            </w:r>
            <w:r>
              <w:rPr>
                <w:b w:val="1"/>
                <w:color w:val="1155CC"/>
                <w:sz w:val="20"/>
              </w:rPr>
              <w:t>(ссылка или значение)</w:t>
            </w:r>
          </w:p>
        </w:tc>
        <w:tc>
          <w:tcPr>
            <w:tcW w:type="dxa" w:w="1785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/>
        </w:tc>
        <w:tc>
          <w:tcPr>
            <w:tcW w:type="dxa" w:w="1425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/>
        </w:tc>
        <w:tc>
          <w:tcPr>
            <w:tcW w:type="dxa" w:w="1920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/>
        </w:tc>
      </w:tr>
      <w:tr>
        <w:trPr>
          <w:trHeight w:hRule="atLeast" w:val="230"/>
        </w:trPr>
        <w:tc>
          <w:tcPr>
            <w:tcW w:type="dxa" w:w="1935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/>
        </w:tc>
        <w:tc>
          <w:tcPr>
            <w:tcW w:type="dxa" w:w="1965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/>
        </w:tc>
        <w:tc>
          <w:tcPr>
            <w:tcW w:type="dxa" w:w="1785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/>
        </w:tc>
        <w:tc>
          <w:tcPr>
            <w:tcW w:type="dxa" w:w="1425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/>
        </w:tc>
        <w:tc>
          <w:tcPr>
            <w:tcW w:type="dxa" w:w="1920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top w:type="dxa" w:w="100"/>
              <w:left w:type="dxa" w:w="100"/>
              <w:bottom w:type="dxa" w:w="100"/>
              <w:right w:type="dxa" w:w="100"/>
            </w:tcMar>
            <w:vAlign w:val="top"/>
          </w:tcPr>
          <w:p/>
        </w:tc>
      </w:tr>
    </w:tbl>
    <w:p w14:paraId="17000000">
      <w:pPr>
        <w:widowControl w:val="1"/>
        <w:spacing w:after="240" w:before="240"/>
        <w:ind/>
        <w:rPr>
          <w:b w:val="1"/>
        </w:rPr>
      </w:pPr>
    </w:p>
    <w:p w14:paraId="18000000">
      <w:pPr>
        <w:widowControl w:val="1"/>
        <w:numPr>
          <w:ilvl w:val="0"/>
          <w:numId w:val="2"/>
        </w:numPr>
        <w:spacing w:after="0" w:before="240"/>
        <w:ind w:hanging="360" w:left="720"/>
      </w:pPr>
      <w:r>
        <w:t xml:space="preserve">Для защищаемых объектов с двух (и более) сторонним питанием: расчетная схема в формате АРМ СРЗА, EnergyCS ТКЗ и карты/бланки уставок </w:t>
      </w:r>
      <w:r>
        <w:rPr>
          <w:b w:val="1"/>
        </w:rPr>
        <w:t>всех</w:t>
      </w:r>
      <w:r>
        <w:t xml:space="preserve"> прилегающих к защищаемому объекту Станций/ПС. </w:t>
      </w:r>
      <w:r>
        <w:rPr>
          <w:color w:val="1155CC"/>
        </w:rPr>
        <w:t>(ссылка)</w:t>
      </w:r>
    </w:p>
    <w:p w14:paraId="19000000">
      <w:pPr>
        <w:widowControl w:val="1"/>
        <w:numPr>
          <w:ilvl w:val="0"/>
          <w:numId w:val="2"/>
        </w:numPr>
        <w:spacing w:after="0" w:before="0"/>
        <w:ind w:hanging="360" w:left="720"/>
      </w:pPr>
      <w:r>
        <w:t xml:space="preserve">Для защищаемых объектов с односторонним питанием: эквиваленты/ТКЗ на стороне питания, в максимальном и минимальном режиме. </w:t>
      </w:r>
      <w:r>
        <w:rPr>
          <w:color w:val="1155CC"/>
        </w:rPr>
        <w:t>(ссылка)</w:t>
      </w:r>
    </w:p>
    <w:p w14:paraId="1A000000">
      <w:pPr>
        <w:widowControl w:val="1"/>
        <w:numPr>
          <w:ilvl w:val="0"/>
          <w:numId w:val="2"/>
        </w:numPr>
        <w:spacing w:after="0" w:before="0"/>
        <w:ind w:hanging="360" w:left="720"/>
      </w:pPr>
      <w:r>
        <w:t xml:space="preserve">Паспорт энергообъекта с указанием типов защищаемого и вышестоящего оборудования. </w:t>
      </w:r>
      <w:r>
        <w:rPr>
          <w:color w:val="1155CC"/>
        </w:rPr>
        <w:t>(ссылка)</w:t>
      </w:r>
    </w:p>
    <w:p w14:paraId="1B000000">
      <w:pPr>
        <w:widowControl w:val="1"/>
        <w:numPr>
          <w:ilvl w:val="0"/>
          <w:numId w:val="2"/>
        </w:numPr>
        <w:spacing w:after="0" w:before="0"/>
        <w:ind w:hanging="360" w:left="720"/>
        <w:rPr>
          <w:u w:val="none"/>
        </w:rPr>
      </w:pPr>
      <w:r>
        <w:t xml:space="preserve">Карта уставок энергообъекта (или существующие бланки уставок)  </w:t>
      </w:r>
      <w:r>
        <w:rPr>
          <w:color w:val="1155CC"/>
        </w:rPr>
        <w:t>(ссылка)</w:t>
      </w:r>
    </w:p>
    <w:p w14:paraId="1C000000">
      <w:pPr>
        <w:widowControl w:val="1"/>
        <w:numPr>
          <w:ilvl w:val="0"/>
          <w:numId w:val="2"/>
        </w:numPr>
        <w:spacing w:after="0" w:before="0"/>
        <w:ind w:hanging="360" w:left="720"/>
      </w:pPr>
      <w:r>
        <w:t xml:space="preserve">Максимальные нагрузочные режимы защищаемых объектов (перетоки мощности).  </w:t>
      </w:r>
      <w:r>
        <w:rPr>
          <w:color w:val="1155CC"/>
        </w:rPr>
        <w:t>(ссылка)</w:t>
      </w:r>
    </w:p>
    <w:p w14:paraId="1D000000">
      <w:pPr>
        <w:widowControl w:val="1"/>
        <w:numPr>
          <w:ilvl w:val="0"/>
          <w:numId w:val="2"/>
        </w:numPr>
        <w:spacing w:after="0" w:before="0"/>
        <w:ind w:hanging="360" w:left="720"/>
      </w:pPr>
      <w:r>
        <w:t xml:space="preserve">Данные по другим возможным режимам, на которые защита не должна реагировать: качания, пуск, самозапуск, бтн трансформаторов, перевозбуждение трансформаторов, повышенное содержание 2 гармоники и т .п. (при наличии).  </w:t>
      </w:r>
      <w:r>
        <w:rPr>
          <w:color w:val="1155CC"/>
        </w:rPr>
        <w:t>(ссылка)</w:t>
      </w:r>
    </w:p>
    <w:p w14:paraId="1E000000">
      <w:pPr>
        <w:widowControl w:val="1"/>
        <w:numPr>
          <w:ilvl w:val="0"/>
          <w:numId w:val="2"/>
        </w:numPr>
        <w:spacing w:after="0" w:before="0"/>
        <w:ind w:hanging="360" w:left="720"/>
      </w:pPr>
      <w:r>
        <w:t xml:space="preserve">Данные по возможным в сети режимам – список одновременно включаемого и отключаемого оборудования </w:t>
      </w:r>
      <w:r>
        <w:rPr>
          <w:color w:val="1155CC"/>
        </w:rPr>
        <w:t>(ссылка)</w:t>
      </w:r>
    </w:p>
    <w:p w14:paraId="1F000000">
      <w:pPr>
        <w:widowControl w:val="1"/>
        <w:numPr>
          <w:ilvl w:val="0"/>
          <w:numId w:val="2"/>
        </w:numPr>
        <w:spacing w:after="0" w:before="0"/>
        <w:ind w:hanging="360" w:left="720"/>
      </w:pPr>
      <w:r>
        <w:t>При необходимости расчетной проверки ТТ - необходимы паспорта ТТ и длина/сечение кабелей (если кабели не выбраны - только длина) от ТТ до каждого из устройств РЗА. Эти данные необходимо запросить у инженера, проектирующего прокладку кабелей</w:t>
      </w:r>
      <w:r>
        <w:rPr>
          <w:color w:val="1155CC"/>
        </w:rPr>
        <w:t xml:space="preserve"> (ссылка)</w:t>
      </w:r>
      <w:r>
        <w:rPr>
          <w:color w:val="1155CC"/>
        </w:rPr>
        <w:t xml:space="preserve">. </w:t>
      </w:r>
      <w:r>
        <w:rPr>
          <w:color w:val="000000"/>
        </w:rPr>
        <w:t>Паспорта всех подключенных устройств</w:t>
      </w:r>
      <w:r>
        <w:rPr>
          <w:u w:val="none"/>
        </w:rPr>
        <w:t xml:space="preserve"> </w:t>
      </w:r>
      <w:r>
        <w:rPr>
          <w:color w:val="1155CC"/>
        </w:rPr>
        <w:t>(ссылка).</w:t>
      </w:r>
    </w:p>
    <w:p w14:paraId="20000000">
      <w:pPr>
        <w:widowControl w:val="1"/>
        <w:numPr>
          <w:ilvl w:val="0"/>
          <w:numId w:val="2"/>
        </w:numPr>
        <w:spacing w:after="240" w:before="0"/>
        <w:ind w:hanging="360" w:left="720"/>
        <w:rPr>
          <w:u w:val="none"/>
        </w:rPr>
      </w:pPr>
      <w:r>
        <w:t xml:space="preserve">При необходимости расчетной проверки ТН - необходимы паспорта ТН и длина/сечение кабелей (если кабели не выбраны - только длина) от ТН до каждого из устройств РЗА. Способ подключения устройств РЗА. Эти данные необходимо запросить у инженера, проектирующего прокладку кабелей.  </w:t>
      </w:r>
      <w:r>
        <w:rPr>
          <w:color w:val="1155CC"/>
        </w:rPr>
        <w:t xml:space="preserve">(ссылка). </w:t>
      </w:r>
      <w:r>
        <w:rPr>
          <w:color w:val="000000"/>
        </w:rPr>
        <w:t>Паспорта всех подключенных устройств</w:t>
      </w:r>
      <w:r>
        <w:rPr>
          <w:color w:val="1155CC"/>
        </w:rPr>
        <w:t xml:space="preserve"> </w:t>
      </w:r>
      <w:r>
        <w:rPr>
          <w:color w:val="1155CC"/>
        </w:rPr>
        <w:t>(ссылка).</w:t>
      </w:r>
    </w:p>
    <w:p w14:paraId="21000000">
      <w:pPr>
        <w:widowControl w:val="1"/>
        <w:spacing w:after="240" w:before="240"/>
        <w:ind/>
      </w:pPr>
      <w:r>
        <w:t>Помимо рекомендаций производителей и ПУЭ при расчете должны быть использованы:</w:t>
      </w:r>
    </w:p>
    <w:p w14:paraId="22000000">
      <w:pPr>
        <w:widowControl w:val="1"/>
        <w:spacing w:after="240" w:before="240"/>
        <w:ind/>
      </w:pPr>
      <w:r>
        <w:t>___________________________________________________________________</w:t>
      </w:r>
    </w:p>
    <w:p w14:paraId="23000000">
      <w:pPr>
        <w:widowControl w:val="1"/>
        <w:spacing w:after="240" w:before="240"/>
        <w:ind/>
      </w:pPr>
    </w:p>
    <w:p w14:paraId="24000000">
      <w:pPr>
        <w:widowControl w:val="1"/>
        <w:spacing w:after="240" w:before="240"/>
        <w:ind/>
      </w:pPr>
      <w:r>
        <w:t>Необходимые для расчета данные предоставлены, за исключением:</w:t>
      </w:r>
      <w:r>
        <w:br/>
      </w:r>
      <w:r>
        <w:t>___________________________________________________________________</w:t>
      </w:r>
      <w:r>
        <w:br/>
      </w:r>
      <w:r>
        <w:t>Данные по __________________________________________________________</w:t>
      </w:r>
      <w:r>
        <w:br/>
      </w:r>
      <w:r>
        <w:t>будут приняты согласно_______________________________________________.</w:t>
      </w:r>
    </w:p>
    <w:p w14:paraId="25000000">
      <w:pPr>
        <w:widowControl w:val="1"/>
        <w:spacing w:after="240" w:before="240"/>
        <w:ind/>
      </w:pPr>
      <w:r>
        <w:t>//либо “Необходимые для расчета данные предоставлены”</w:t>
      </w:r>
    </w:p>
    <w:sectPr>
      <w:footerReference r:id="rId1" w:type="default"/>
      <w:pgSz w:h="16834" w:orient="portrait" w:w="11909"/>
      <w:pgMar w:bottom="1440" w:footer="720" w:header="720" w:left="1440" w:right="1440" w:top="1440"/>
      <w:pgNumType w:start="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Style w:val="Style_1"/>
      <w:tblW w:type="auto" w:w="0"/>
      <w:jc w:val="left"/>
      <w:tblBorders>
        <w:top w:color="000000" w:val="nil"/>
        <w:left w:color="000000" w:val="nil"/>
        <w:bottom w:color="000000" w:val="nil"/>
        <w:right w:color="000000" w:val="nil"/>
        <w:insideH w:color="000000" w:val="nil"/>
        <w:insideV w:color="000000" w:val="nil"/>
      </w:tblBorders>
      <w:tblLayout w:type="fixed"/>
    </w:tblPr>
    <w:tblGrid>
      <w:gridCol w:w="4822"/>
      <w:gridCol w:w="4207"/>
    </w:tblGrid>
    <w:tr>
      <w:trPr>
        <w:trHeight w:hRule="atLeast" w:val="716"/>
      </w:trPr>
      <w:tc>
        <w:tcPr>
          <w:tcW w:type="dxa" w:w="4822"/>
          <w:tcBorders>
            <w:top w:color="000000" w:val="nil"/>
            <w:left w:color="000000" w:val="nil"/>
            <w:bottom w:color="000000" w:val="nil"/>
            <w:right w:color="000000" w:val="nil"/>
          </w:tcBorders>
          <w:tcMar>
            <w:top w:type="dxa" w:w="100"/>
            <w:left w:type="dxa" w:w="100"/>
            <w:bottom w:type="dxa" w:w="100"/>
            <w:right w:type="dxa" w:w="100"/>
          </w:tcMar>
          <w:vAlign w:val="top"/>
        </w:tcPr>
        <w:p w14:paraId="01000000">
          <w:pPr>
            <w:widowControl w:val="1"/>
            <w:spacing w:after="240" w:before="240"/>
            <w:ind/>
          </w:pPr>
          <w:r>
            <w:rPr>
              <w:b w:val="1"/>
            </w:rPr>
            <w:t>Заказчик:</w:t>
          </w:r>
        </w:p>
        <w:p w14:paraId="02000000">
          <w:pPr>
            <w:widowControl w:val="1"/>
            <w:spacing w:after="240" w:before="240"/>
            <w:ind/>
            <w:rPr>
              <w:u w:val="single"/>
            </w:rPr>
          </w:pPr>
          <w:r>
            <w:rPr>
              <w:u w:val="single"/>
            </w:rPr>
            <w:t>___________________________</w:t>
          </w:r>
        </w:p>
      </w:tc>
      <w:tc>
        <w:tcPr>
          <w:tcW w:type="dxa" w:w="4207"/>
          <w:tcBorders>
            <w:top w:color="000000" w:val="nil"/>
            <w:left w:color="000000" w:val="nil"/>
            <w:bottom w:color="000000" w:val="nil"/>
            <w:right w:color="000000" w:val="nil"/>
          </w:tcBorders>
          <w:tcMar>
            <w:top w:type="dxa" w:w="100"/>
            <w:left w:type="dxa" w:w="100"/>
            <w:bottom w:type="dxa" w:w="100"/>
            <w:right w:type="dxa" w:w="100"/>
          </w:tcMar>
          <w:vAlign w:val="top"/>
        </w:tcPr>
        <w:p w14:paraId="03000000">
          <w:pPr>
            <w:widowControl w:val="1"/>
            <w:spacing w:after="240" w:before="240"/>
            <w:ind/>
          </w:pPr>
          <w:r>
            <w:rPr>
              <w:b w:val="1"/>
            </w:rPr>
            <w:t>Исполнитель</w:t>
          </w:r>
          <w:r>
            <w:t>:</w:t>
          </w:r>
        </w:p>
        <w:p w14:paraId="04000000">
          <w:pPr>
            <w:widowControl w:val="1"/>
            <w:spacing w:after="240" w:before="240"/>
            <w:ind/>
            <w:rPr>
              <w:u w:val="single"/>
            </w:rPr>
          </w:pPr>
          <w:r>
            <w:rPr>
              <w:u w:val="single"/>
            </w:rPr>
            <w:t xml:space="preserve">_____________________________ </w:t>
          </w:r>
        </w:p>
      </w:tc>
    </w:tr>
  </w:tbl>
  <w:p w14:paraId="05000000">
    <w:pPr>
      <w:pStyle w:val="Style_2"/>
    </w:pPr>
  </w:p>
</w:ft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ind w:hanging="360" w:left="720"/>
      </w:pPr>
      <w:rPr>
        <w:u w:val="none"/>
      </w:rPr>
    </w:lvl>
    <w:lvl w:ilvl="1">
      <w:start w:val="1"/>
      <w:numFmt w:val="lowerLetter"/>
      <w:lvlText w:val="%2."/>
      <w:lvlJc w:val="left"/>
      <w:pPr>
        <w:widowControl w:val="1"/>
        <w:ind w:hanging="360" w:left="1440"/>
      </w:pPr>
      <w:rPr>
        <w:u w:val="none"/>
      </w:rPr>
    </w:lvl>
    <w:lvl w:ilvl="2">
      <w:start w:val="1"/>
      <w:numFmt w:val="lowerRoman"/>
      <w:lvlText w:val="%3."/>
      <w:lvlJc w:val="left"/>
      <w:pPr>
        <w:widowControl w:val="1"/>
        <w:ind w:hanging="360" w:left="2160"/>
      </w:pPr>
      <w:rPr>
        <w:u w:val="none"/>
      </w:rPr>
    </w:lvl>
    <w:lvl w:ilvl="3">
      <w:start w:val="1"/>
      <w:numFmt w:val="decimal"/>
      <w:lvlText w:val="%4."/>
      <w:lvlJc w:val="left"/>
      <w:pPr>
        <w:widowControl w:val="1"/>
        <w:ind w:hanging="360" w:left="2880"/>
      </w:pPr>
      <w:rPr>
        <w:u w:val="none"/>
      </w:r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  <w:rPr>
        <w:u w:val="none"/>
      </w:rPr>
    </w:lvl>
    <w:lvl w:ilvl="5">
      <w:start w:val="1"/>
      <w:numFmt w:val="lowerRoman"/>
      <w:lvlText w:val="%6."/>
      <w:lvlJc w:val="left"/>
      <w:pPr>
        <w:widowControl w:val="1"/>
        <w:ind w:hanging="360" w:left="4320"/>
      </w:pPr>
      <w:rPr>
        <w:u w:val="none"/>
      </w:rPr>
    </w:lvl>
    <w:lvl w:ilvl="6">
      <w:start w:val="1"/>
      <w:numFmt w:val="decimal"/>
      <w:lvlText w:val="%7."/>
      <w:lvlJc w:val="left"/>
      <w:pPr>
        <w:widowControl w:val="1"/>
        <w:ind w:hanging="360" w:left="5040"/>
      </w:pPr>
      <w:rPr>
        <w:u w:val="none"/>
      </w:r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  <w:rPr>
        <w:u w:val="none"/>
      </w:rPr>
    </w:lvl>
    <w:lvl w:ilvl="8">
      <w:start w:val="1"/>
      <w:numFmt w:val="lowerRoman"/>
      <w:lvlText w:val="%9."/>
      <w:lvlJc w:val="left"/>
      <w:pPr>
        <w:widowControl w:val="1"/>
        <w:ind w:hanging="360" w:left="6480"/>
      </w:pPr>
      <w:rPr>
        <w:u w:val="none"/>
      </w:rPr>
    </w:lvl>
  </w:abstractNum>
  <w:abstractNum w:abstractNumId="1">
    <w:lvl w:ilvl="0">
      <w:start w:val="4"/>
      <w:numFmt w:val="decimal"/>
      <w:lvlText w:val="%1."/>
      <w:lvlJc w:val="left"/>
      <w:pPr>
        <w:widowControl w:val="1"/>
        <w:ind w:hanging="360" w:left="720"/>
      </w:pPr>
      <w:rPr>
        <w:u w:val="none"/>
      </w:rPr>
    </w:lvl>
    <w:lvl w:ilvl="1">
      <w:start w:val="1"/>
      <w:numFmt w:val="lowerLetter"/>
      <w:lvlText w:val="%2."/>
      <w:lvlJc w:val="left"/>
      <w:pPr>
        <w:widowControl w:val="1"/>
        <w:ind w:hanging="360" w:left="1440"/>
      </w:pPr>
      <w:rPr>
        <w:u w:val="none"/>
      </w:rPr>
    </w:lvl>
    <w:lvl w:ilvl="2">
      <w:start w:val="1"/>
      <w:numFmt w:val="lowerRoman"/>
      <w:lvlText w:val="%3."/>
      <w:lvlJc w:val="left"/>
      <w:pPr>
        <w:widowControl w:val="1"/>
        <w:ind w:hanging="360" w:left="2160"/>
      </w:pPr>
      <w:rPr>
        <w:u w:val="none"/>
      </w:rPr>
    </w:lvl>
    <w:lvl w:ilvl="3">
      <w:start w:val="1"/>
      <w:numFmt w:val="decimal"/>
      <w:lvlText w:val="%4."/>
      <w:lvlJc w:val="left"/>
      <w:pPr>
        <w:widowControl w:val="1"/>
        <w:ind w:hanging="360" w:left="2880"/>
      </w:pPr>
      <w:rPr>
        <w:u w:val="none"/>
      </w:r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  <w:rPr>
        <w:u w:val="none"/>
      </w:rPr>
    </w:lvl>
    <w:lvl w:ilvl="5">
      <w:start w:val="1"/>
      <w:numFmt w:val="lowerRoman"/>
      <w:lvlText w:val="%6."/>
      <w:lvlJc w:val="left"/>
      <w:pPr>
        <w:widowControl w:val="1"/>
        <w:ind w:hanging="360" w:left="4320"/>
      </w:pPr>
      <w:rPr>
        <w:u w:val="none"/>
      </w:rPr>
    </w:lvl>
    <w:lvl w:ilvl="6">
      <w:start w:val="1"/>
      <w:numFmt w:val="decimal"/>
      <w:lvlText w:val="%7."/>
      <w:lvlJc w:val="left"/>
      <w:pPr>
        <w:widowControl w:val="1"/>
        <w:ind w:hanging="360" w:left="5040"/>
      </w:pPr>
      <w:rPr>
        <w:u w:val="none"/>
      </w:r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  <w:rPr>
        <w:u w:val="none"/>
      </w:rPr>
    </w:lvl>
    <w:lvl w:ilvl="8">
      <w:start w:val="1"/>
      <w:numFmt w:val="lowerRoman"/>
      <w:lvlText w:val="%9."/>
      <w:lvlJc w:val="left"/>
      <w:pPr>
        <w:widowControl w:val="1"/>
        <w:ind w:hanging="360" w:left="648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Arial" w:hAnsi="Arial"/>
        <w:color w:val="000000"/>
        <w:spacing w:val="0"/>
        <w:sz w:val="22"/>
      </w:rPr>
    </w:rPrDefault>
    <w:pPrDefault>
      <w:pPr>
        <w:widowControl w:val="1"/>
        <w:spacing w:after="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</w:style>
  <w:style w:default="1" w:styleId="Style_7_ch" w:type="character">
    <w:name w:val="Normal"/>
    <w:link w:val="Style_7"/>
  </w:style>
  <w:style w:styleId="Style_8" w:type="paragraph">
    <w:name w:val="toc 2"/>
    <w:next w:val="Style_7"/>
    <w:link w:val="Style_8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toc 4"/>
    <w:next w:val="Style_7"/>
    <w:link w:val="Style_9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toc 6"/>
    <w:next w:val="Style_7"/>
    <w:link w:val="Style_1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7"/>
    <w:link w:val="Style_11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End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basedOn w:val="Style_7"/>
    <w:next w:val="Style_7"/>
    <w:link w:val="Style_13_ch"/>
    <w:uiPriority w:val="9"/>
    <w:qFormat/>
    <w:pPr>
      <w:keepNext w:val="1"/>
      <w:keepLines w:val="1"/>
      <w:pageBreakBefore w:val="0"/>
      <w:widowControl w:val="1"/>
      <w:spacing w:after="80" w:before="320"/>
      <w:ind/>
      <w:outlineLvl w:val="2"/>
    </w:pPr>
    <w:rPr>
      <w:b w:val="0"/>
      <w:color w:val="434343"/>
      <w:sz w:val="28"/>
    </w:rPr>
  </w:style>
  <w:style w:styleId="Style_13_ch" w:type="character">
    <w:name w:val="heading 3"/>
    <w:basedOn w:val="Style_7_ch"/>
    <w:link w:val="Style_13"/>
    <w:rPr>
      <w:b w:val="0"/>
      <w:color w:val="434343"/>
      <w:sz w:val="28"/>
    </w:rPr>
  </w:style>
  <w:style w:styleId="Style_14" w:type="paragraph">
    <w:name w:val="toc 3"/>
    <w:next w:val="Style_7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heading 5"/>
    <w:basedOn w:val="Style_7"/>
    <w:next w:val="Style_7"/>
    <w:link w:val="Style_15_ch"/>
    <w:uiPriority w:val="9"/>
    <w:qFormat/>
    <w:pPr>
      <w:keepNext w:val="1"/>
      <w:keepLines w:val="1"/>
      <w:pageBreakBefore w:val="0"/>
      <w:widowControl w:val="1"/>
      <w:spacing w:after="80" w:before="240"/>
      <w:ind/>
      <w:outlineLvl w:val="4"/>
    </w:pPr>
    <w:rPr>
      <w:color w:val="666666"/>
      <w:sz w:val="22"/>
    </w:rPr>
  </w:style>
  <w:style w:styleId="Style_15_ch" w:type="character">
    <w:name w:val="heading 5"/>
    <w:basedOn w:val="Style_7_ch"/>
    <w:link w:val="Style_15"/>
    <w:rPr>
      <w:color w:val="666666"/>
      <w:sz w:val="22"/>
    </w:rPr>
  </w:style>
  <w:style w:styleId="Style_4" w:type="paragraph">
    <w:name w:val="heading 1"/>
    <w:basedOn w:val="Style_7"/>
    <w:next w:val="Style_7"/>
    <w:link w:val="Style_4_ch"/>
    <w:uiPriority w:val="9"/>
    <w:qFormat/>
    <w:pPr>
      <w:keepNext w:val="1"/>
      <w:keepLines w:val="1"/>
      <w:pageBreakBefore w:val="0"/>
      <w:widowControl w:val="1"/>
      <w:spacing w:after="120" w:before="400"/>
      <w:ind/>
      <w:outlineLvl w:val="0"/>
    </w:pPr>
    <w:rPr>
      <w:sz w:val="40"/>
    </w:rPr>
  </w:style>
  <w:style w:styleId="Style_4_ch" w:type="character">
    <w:name w:val="heading 1"/>
    <w:basedOn w:val="Style_7_ch"/>
    <w:link w:val="Style_4"/>
    <w:rPr>
      <w:sz w:val="40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7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2" w:type="paragraph">
    <w:name w:val="Header and Footer"/>
    <w:link w:val="Style_2_ch"/>
    <w:pPr>
      <w:spacing w:line="240" w:lineRule="auto"/>
      <w:ind/>
      <w:jc w:val="both"/>
    </w:pPr>
    <w:rPr>
      <w:rFonts w:ascii="XO Thames" w:hAnsi="XO Thames"/>
      <w:sz w:val="28"/>
    </w:rPr>
  </w:style>
  <w:style w:styleId="Style_2_ch" w:type="character">
    <w:name w:val="Header and Footer"/>
    <w:link w:val="Style_2"/>
    <w:rPr>
      <w:rFonts w:ascii="XO Thames" w:hAnsi="XO Thames"/>
      <w:sz w:val="28"/>
    </w:rPr>
  </w:style>
  <w:style w:styleId="Style_19" w:type="paragraph">
    <w:name w:val="toc 9"/>
    <w:next w:val="Style_7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7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7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5" w:type="paragraph">
    <w:name w:val="Subtitle"/>
    <w:basedOn w:val="Style_7"/>
    <w:next w:val="Style_7"/>
    <w:link w:val="Style_5_ch"/>
    <w:uiPriority w:val="11"/>
    <w:qFormat/>
    <w:pPr>
      <w:keepNext w:val="1"/>
      <w:keepLines w:val="1"/>
      <w:pageBreakBefore w:val="0"/>
      <w:widowControl w:val="1"/>
      <w:spacing w:after="320" w:before="0"/>
      <w:ind/>
    </w:pPr>
    <w:rPr>
      <w:rFonts w:ascii="Arial" w:hAnsi="Arial"/>
      <w:i w:val="0"/>
      <w:color w:val="666666"/>
      <w:sz w:val="30"/>
    </w:rPr>
  </w:style>
  <w:style w:styleId="Style_5_ch" w:type="character">
    <w:name w:val="Subtitle"/>
    <w:basedOn w:val="Style_7_ch"/>
    <w:link w:val="Style_5"/>
    <w:rPr>
      <w:rFonts w:ascii="Arial" w:hAnsi="Arial"/>
      <w:i w:val="0"/>
      <w:color w:val="666666"/>
      <w:sz w:val="30"/>
    </w:rPr>
  </w:style>
  <w:style w:styleId="Style_3" w:type="paragraph">
    <w:name w:val="Title"/>
    <w:basedOn w:val="Style_7"/>
    <w:next w:val="Style_7"/>
    <w:link w:val="Style_3_ch"/>
    <w:uiPriority w:val="10"/>
    <w:qFormat/>
    <w:pPr>
      <w:keepNext w:val="1"/>
      <w:keepLines w:val="1"/>
      <w:pageBreakBefore w:val="0"/>
      <w:widowControl w:val="1"/>
      <w:spacing w:after="60" w:before="0"/>
      <w:ind/>
    </w:pPr>
    <w:rPr>
      <w:sz w:val="52"/>
    </w:rPr>
  </w:style>
  <w:style w:styleId="Style_3_ch" w:type="character">
    <w:name w:val="Title"/>
    <w:basedOn w:val="Style_7_ch"/>
    <w:link w:val="Style_3"/>
    <w:rPr>
      <w:sz w:val="52"/>
    </w:rPr>
  </w:style>
  <w:style w:styleId="Style_22" w:type="paragraph">
    <w:name w:val="heading 4"/>
    <w:basedOn w:val="Style_7"/>
    <w:next w:val="Style_7"/>
    <w:link w:val="Style_22_ch"/>
    <w:uiPriority w:val="9"/>
    <w:qFormat/>
    <w:pPr>
      <w:keepNext w:val="1"/>
      <w:keepLines w:val="1"/>
      <w:pageBreakBefore w:val="0"/>
      <w:widowControl w:val="1"/>
      <w:spacing w:after="80" w:before="280"/>
      <w:ind/>
      <w:outlineLvl w:val="3"/>
    </w:pPr>
    <w:rPr>
      <w:color w:val="666666"/>
      <w:sz w:val="24"/>
    </w:rPr>
  </w:style>
  <w:style w:styleId="Style_22_ch" w:type="character">
    <w:name w:val="heading 4"/>
    <w:basedOn w:val="Style_7_ch"/>
    <w:link w:val="Style_22"/>
    <w:rPr>
      <w:color w:val="666666"/>
      <w:sz w:val="24"/>
    </w:rPr>
  </w:style>
  <w:style w:styleId="Style_23" w:type="paragraph">
    <w:name w:val="heading 2"/>
    <w:basedOn w:val="Style_7"/>
    <w:next w:val="Style_7"/>
    <w:link w:val="Style_23_ch"/>
    <w:uiPriority w:val="9"/>
    <w:qFormat/>
    <w:pPr>
      <w:keepNext w:val="1"/>
      <w:keepLines w:val="1"/>
      <w:pageBreakBefore w:val="0"/>
      <w:widowControl w:val="1"/>
      <w:spacing w:after="120" w:before="360"/>
      <w:ind/>
      <w:outlineLvl w:val="1"/>
    </w:pPr>
    <w:rPr>
      <w:b w:val="0"/>
      <w:sz w:val="32"/>
    </w:rPr>
  </w:style>
  <w:style w:styleId="Style_23_ch" w:type="character">
    <w:name w:val="heading 2"/>
    <w:basedOn w:val="Style_7_ch"/>
    <w:link w:val="Style_23"/>
    <w:rPr>
      <w:b w:val="0"/>
      <w:sz w:val="32"/>
    </w:rPr>
  </w:style>
  <w:style w:styleId="Style_24" w:type="paragraph">
    <w:name w:val="heading 6"/>
    <w:basedOn w:val="Style_7"/>
    <w:next w:val="Style_7"/>
    <w:link w:val="Style_24_ch"/>
    <w:uiPriority w:val="9"/>
    <w:qFormat/>
    <w:pPr>
      <w:keepNext w:val="1"/>
      <w:keepLines w:val="1"/>
      <w:pageBreakBefore w:val="0"/>
      <w:widowControl w:val="1"/>
      <w:spacing w:after="80" w:before="240"/>
      <w:ind/>
      <w:outlineLvl w:val="5"/>
    </w:pPr>
    <w:rPr>
      <w:i w:val="1"/>
      <w:color w:val="666666"/>
      <w:sz w:val="22"/>
    </w:rPr>
  </w:style>
  <w:style w:styleId="Style_24_ch" w:type="character">
    <w:name w:val="heading 6"/>
    <w:basedOn w:val="Style_7_ch"/>
    <w:link w:val="Style_24"/>
    <w:rPr>
      <w:i w:val="1"/>
      <w:color w:val="666666"/>
      <w:sz w:val="22"/>
    </w:rPr>
  </w:style>
  <w:style w:styleId="Style_6" w:type="table">
    <w:basedOn w:val="Style_25"/>
    <w:semiHidden w:val="1"/>
    <w:unhideWhenUsed w:val="1"/>
    <w:tblPr>
      <w:tblCellMar>
        <w:top w:type="dxa" w:w="100"/>
        <w:left w:type="dxa" w:w="100"/>
        <w:bottom w:type="dxa" w:w="100"/>
        <w:right w:type="dxa" w:w="100"/>
      </w:tblCellMar>
    </w:tblPr>
  </w:style>
  <w:style w:default="1" w:styleId="Style_25" w:type="table">
    <w:name w:val="TableNormal"/>
  </w:style>
  <w:style w:styleId="Style_1" w:type="table">
    <w:basedOn w:val="Style_25"/>
    <w:semiHidden w:val="1"/>
    <w:unhideWhenUsed w:val="1"/>
    <w:tblPr>
      <w:tblCellMar>
        <w:top w:type="dxa" w:w="100"/>
        <w:left w:type="dxa" w:w="100"/>
        <w:bottom w:type="dxa" w:w="100"/>
        <w:right w:type="dxa" w:w="10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footer1.xml" Type="http://schemas.openxmlformats.org/officeDocument/2006/relationships/foot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2025-08-22T05:14:00Z</dcterms:created>
  <dcterms:modified xsi:type="dcterms:W3CDTF">2025-08-22T05:14:00Z</dcterms:modified>
</cp:coreProperties>
</file>